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0D" w:rsidRPr="0080570D" w:rsidRDefault="0080570D" w:rsidP="0080570D">
      <w:pPr>
        <w:spacing w:after="150" w:line="240" w:lineRule="auto"/>
        <w:jc w:val="center"/>
        <w:outlineLvl w:val="0"/>
        <w:rPr>
          <w:rFonts w:ascii="Times New Roman" w:eastAsia="Times New Roman" w:hAnsi="Times New Roman" w:cs="Times New Roman"/>
          <w:b/>
          <w:color w:val="00274E"/>
          <w:kern w:val="36"/>
          <w:sz w:val="28"/>
          <w:szCs w:val="28"/>
          <w:lang w:eastAsia="uk-UA"/>
        </w:rPr>
      </w:pPr>
      <w:r w:rsidRPr="0080570D">
        <w:rPr>
          <w:rFonts w:ascii="Times New Roman" w:eastAsia="Times New Roman" w:hAnsi="Times New Roman" w:cs="Times New Roman"/>
          <w:b/>
          <w:color w:val="00274E"/>
          <w:kern w:val="36"/>
          <w:sz w:val="28"/>
          <w:szCs w:val="28"/>
          <w:lang w:eastAsia="uk-UA"/>
        </w:rPr>
        <w:t>Завдання, функції та компетенція суду</w:t>
      </w:r>
    </w:p>
    <w:p w:rsidR="0080570D" w:rsidRPr="0080570D" w:rsidRDefault="0080570D" w:rsidP="0080570D">
      <w:pPr>
        <w:spacing w:after="150" w:line="240" w:lineRule="auto"/>
        <w:ind w:firstLine="708"/>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b/>
          <w:bCs/>
          <w:sz w:val="28"/>
          <w:szCs w:val="28"/>
          <w:lang w:eastAsia="uk-UA"/>
        </w:rPr>
        <w:t>Стаття 6 </w:t>
      </w:r>
      <w:hyperlink r:id="rId7" w:history="1">
        <w:r w:rsidRPr="0080570D">
          <w:rPr>
            <w:rFonts w:ascii="Times New Roman" w:eastAsia="Times New Roman" w:hAnsi="Times New Roman" w:cs="Times New Roman"/>
            <w:b/>
            <w:bCs/>
            <w:color w:val="0000FF"/>
            <w:sz w:val="28"/>
            <w:szCs w:val="28"/>
            <w:lang w:eastAsia="uk-UA"/>
          </w:rPr>
          <w:t>Конституції України</w:t>
        </w:r>
      </w:hyperlink>
      <w:r w:rsidRPr="0080570D">
        <w:rPr>
          <w:rFonts w:ascii="Times New Roman" w:eastAsia="Times New Roman" w:hAnsi="Times New Roman" w:cs="Times New Roman"/>
          <w:b/>
          <w:bCs/>
          <w:color w:val="0000FF"/>
          <w:sz w:val="28"/>
          <w:szCs w:val="28"/>
          <w:lang w:eastAsia="uk-UA"/>
        </w:rPr>
        <w:t> </w:t>
      </w:r>
      <w:r w:rsidRPr="0080570D">
        <w:rPr>
          <w:rFonts w:ascii="Times New Roman" w:eastAsia="Times New Roman" w:hAnsi="Times New Roman" w:cs="Times New Roman"/>
          <w:sz w:val="28"/>
          <w:szCs w:val="28"/>
          <w:lang w:eastAsia="uk-UA"/>
        </w:rPr>
        <w:t>проголошує, що державна влада в Україні здійснюється на засадах її поділу на законодавчу, виконавчу та судову. 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80570D" w:rsidRPr="0080570D" w:rsidRDefault="0080570D" w:rsidP="0080570D">
      <w:pPr>
        <w:spacing w:after="150" w:line="240" w:lineRule="auto"/>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sz w:val="28"/>
          <w:szCs w:val="28"/>
          <w:lang w:eastAsia="uk-UA"/>
        </w:rPr>
        <w:t>Відповідно до </w:t>
      </w:r>
      <w:r w:rsidRPr="0080570D">
        <w:rPr>
          <w:rFonts w:ascii="Times New Roman" w:eastAsia="Times New Roman" w:hAnsi="Times New Roman" w:cs="Times New Roman"/>
          <w:b/>
          <w:bCs/>
          <w:sz w:val="28"/>
          <w:szCs w:val="28"/>
          <w:lang w:eastAsia="uk-UA"/>
        </w:rPr>
        <w:t>ст. 124 </w:t>
      </w:r>
      <w:hyperlink r:id="rId8" w:history="1">
        <w:r w:rsidRPr="0080570D">
          <w:rPr>
            <w:rFonts w:ascii="Times New Roman" w:eastAsia="Times New Roman" w:hAnsi="Times New Roman" w:cs="Times New Roman"/>
            <w:b/>
            <w:bCs/>
            <w:color w:val="0000FF"/>
            <w:sz w:val="28"/>
            <w:szCs w:val="28"/>
            <w:lang w:eastAsia="uk-UA"/>
          </w:rPr>
          <w:t>Конституції України</w:t>
        </w:r>
      </w:hyperlink>
      <w:r w:rsidRPr="0080570D">
        <w:rPr>
          <w:rFonts w:ascii="Times New Roman" w:eastAsia="Times New Roman" w:hAnsi="Times New Roman" w:cs="Times New Roman"/>
          <w:sz w:val="28"/>
          <w:szCs w:val="28"/>
          <w:lang w:eastAsia="uk-UA"/>
        </w:rPr>
        <w:t> правосуддя в Україні здійснюється виключно судами.</w:t>
      </w:r>
    </w:p>
    <w:p w:rsidR="0080570D" w:rsidRPr="0080570D" w:rsidRDefault="0080570D" w:rsidP="0080570D">
      <w:pPr>
        <w:spacing w:after="150" w:line="240" w:lineRule="auto"/>
        <w:ind w:firstLine="708"/>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sz w:val="28"/>
          <w:szCs w:val="28"/>
          <w:lang w:eastAsia="uk-UA"/>
        </w:rPr>
        <w:t>Делегування функцій судів, а також привласнення цих функцій іншими органами чи посадовими особами не допускаються.  Відповідно до </w:t>
      </w:r>
      <w:r w:rsidRPr="0080570D">
        <w:rPr>
          <w:rFonts w:ascii="Times New Roman" w:eastAsia="Times New Roman" w:hAnsi="Times New Roman" w:cs="Times New Roman"/>
          <w:b/>
          <w:bCs/>
          <w:sz w:val="28"/>
          <w:szCs w:val="28"/>
          <w:lang w:eastAsia="uk-UA"/>
        </w:rPr>
        <w:t>ст. 55 Конституції України</w:t>
      </w:r>
      <w:r w:rsidRPr="0080570D">
        <w:rPr>
          <w:rFonts w:ascii="Times New Roman" w:eastAsia="Times New Roman" w:hAnsi="Times New Roman" w:cs="Times New Roman"/>
          <w:sz w:val="28"/>
          <w:szCs w:val="28"/>
          <w:lang w:eastAsia="uk-UA"/>
        </w:rPr>
        <w:t>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80570D" w:rsidRPr="0080570D" w:rsidRDefault="0080570D" w:rsidP="0080570D">
      <w:pPr>
        <w:spacing w:after="150" w:line="240" w:lineRule="auto"/>
        <w:ind w:firstLine="708"/>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sz w:val="28"/>
          <w:szCs w:val="28"/>
          <w:lang w:eastAsia="uk-UA"/>
        </w:rPr>
        <w:t>Завдання суду визначені у </w:t>
      </w:r>
      <w:r w:rsidRPr="0080570D">
        <w:rPr>
          <w:rFonts w:ascii="Times New Roman" w:eastAsia="Times New Roman" w:hAnsi="Times New Roman" w:cs="Times New Roman"/>
          <w:b/>
          <w:bCs/>
          <w:sz w:val="28"/>
          <w:szCs w:val="28"/>
          <w:lang w:eastAsia="uk-UA"/>
        </w:rPr>
        <w:t>ст. 2</w:t>
      </w:r>
      <w:r w:rsidRPr="0080570D">
        <w:rPr>
          <w:rFonts w:ascii="Times New Roman" w:eastAsia="Times New Roman" w:hAnsi="Times New Roman" w:cs="Times New Roman"/>
          <w:b/>
          <w:bCs/>
          <w:color w:val="0000FF"/>
          <w:sz w:val="28"/>
          <w:szCs w:val="28"/>
          <w:lang w:eastAsia="uk-UA"/>
        </w:rPr>
        <w:t> </w:t>
      </w:r>
      <w:hyperlink r:id="rId9" w:history="1">
        <w:r w:rsidRPr="0080570D">
          <w:rPr>
            <w:rFonts w:ascii="Times New Roman" w:eastAsia="Times New Roman" w:hAnsi="Times New Roman" w:cs="Times New Roman"/>
            <w:b/>
            <w:bCs/>
            <w:color w:val="0000FF"/>
            <w:sz w:val="28"/>
            <w:szCs w:val="28"/>
            <w:lang w:eastAsia="uk-UA"/>
          </w:rPr>
          <w:t>Закону України «Про судоустрій і статус суддів»</w:t>
        </w:r>
      </w:hyperlink>
      <w:r w:rsidRPr="0080570D">
        <w:rPr>
          <w:rFonts w:ascii="Times New Roman" w:eastAsia="Times New Roman" w:hAnsi="Times New Roman" w:cs="Times New Roman"/>
          <w:b/>
          <w:bCs/>
          <w:sz w:val="28"/>
          <w:szCs w:val="28"/>
          <w:lang w:eastAsia="uk-UA"/>
        </w:rPr>
        <w:t>: </w:t>
      </w:r>
      <w:r w:rsidRPr="0080570D">
        <w:rPr>
          <w:rFonts w:ascii="Times New Roman" w:eastAsia="Times New Roman" w:hAnsi="Times New Roman" w:cs="Times New Roman"/>
          <w:sz w:val="28"/>
          <w:szCs w:val="28"/>
          <w:lang w:eastAsia="uk-UA"/>
        </w:rPr>
        <w:t>суд, здійснюючи правосуддя на засадах верховенства права,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rsidR="0080570D" w:rsidRPr="0080570D" w:rsidRDefault="0080570D" w:rsidP="0080570D">
      <w:pPr>
        <w:spacing w:after="150" w:line="240" w:lineRule="auto"/>
        <w:ind w:firstLine="708"/>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sz w:val="28"/>
          <w:szCs w:val="28"/>
          <w:lang w:eastAsia="uk-UA"/>
        </w:rPr>
        <w:t xml:space="preserve">Основною місією Господарського суду </w:t>
      </w:r>
      <w:r w:rsidR="002B62CA">
        <w:rPr>
          <w:rFonts w:ascii="Times New Roman" w:eastAsia="Times New Roman" w:hAnsi="Times New Roman" w:cs="Times New Roman"/>
          <w:sz w:val="28"/>
          <w:szCs w:val="28"/>
          <w:lang w:eastAsia="uk-UA"/>
        </w:rPr>
        <w:t>Закарпатської</w:t>
      </w:r>
      <w:r w:rsidRPr="0080570D">
        <w:rPr>
          <w:rFonts w:ascii="Times New Roman" w:eastAsia="Times New Roman" w:hAnsi="Times New Roman" w:cs="Times New Roman"/>
          <w:sz w:val="28"/>
          <w:szCs w:val="28"/>
          <w:lang w:eastAsia="uk-UA"/>
        </w:rPr>
        <w:t xml:space="preserve"> області – є захист прав і свобод людини і громадянина, держави та юридичних осіб на засадах верховенства права в ім’я закону й справедливості.</w:t>
      </w:r>
    </w:p>
    <w:p w:rsidR="0080570D" w:rsidRPr="0080570D" w:rsidRDefault="0080570D" w:rsidP="002B62CA">
      <w:pPr>
        <w:spacing w:after="150" w:line="240" w:lineRule="auto"/>
        <w:ind w:firstLine="708"/>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sz w:val="28"/>
          <w:szCs w:val="28"/>
          <w:lang w:eastAsia="uk-UA"/>
        </w:rPr>
        <w:t xml:space="preserve">Господарський суд </w:t>
      </w:r>
      <w:r w:rsidR="002B62CA">
        <w:rPr>
          <w:rFonts w:ascii="Times New Roman" w:eastAsia="Times New Roman" w:hAnsi="Times New Roman" w:cs="Times New Roman"/>
          <w:sz w:val="28"/>
          <w:szCs w:val="28"/>
          <w:lang w:eastAsia="uk-UA"/>
        </w:rPr>
        <w:t>Закарпатської</w:t>
      </w:r>
      <w:r w:rsidRPr="0080570D">
        <w:rPr>
          <w:rFonts w:ascii="Times New Roman" w:eastAsia="Times New Roman" w:hAnsi="Times New Roman" w:cs="Times New Roman"/>
          <w:sz w:val="28"/>
          <w:szCs w:val="28"/>
          <w:lang w:eastAsia="uk-UA"/>
        </w:rPr>
        <w:t xml:space="preserve"> області є судом першої інстанції і здійснює правосуддя у порядку, встановленому процесуальним законом.</w:t>
      </w:r>
    </w:p>
    <w:p w:rsidR="0080570D" w:rsidRPr="0080570D" w:rsidRDefault="0080570D" w:rsidP="0080570D">
      <w:pPr>
        <w:spacing w:after="150" w:line="240" w:lineRule="auto"/>
        <w:ind w:firstLine="708"/>
        <w:jc w:val="both"/>
        <w:rPr>
          <w:rFonts w:ascii="Times New Roman" w:eastAsia="Times New Roman" w:hAnsi="Times New Roman" w:cs="Times New Roman"/>
          <w:sz w:val="28"/>
          <w:szCs w:val="28"/>
          <w:lang w:eastAsia="uk-UA"/>
        </w:rPr>
      </w:pPr>
      <w:r w:rsidRPr="0080570D">
        <w:rPr>
          <w:rFonts w:ascii="Times New Roman" w:eastAsia="Times New Roman" w:hAnsi="Times New Roman" w:cs="Times New Roman"/>
          <w:sz w:val="28"/>
          <w:szCs w:val="28"/>
          <w:lang w:eastAsia="uk-UA"/>
        </w:rPr>
        <w:t>Місцеві господарські суди розглядають справи, що виникають із господарських правовідносин, а також інші справи, віднесені законом до їх юрисдикції.</w:t>
      </w:r>
    </w:p>
    <w:p w:rsidR="0080570D" w:rsidRPr="002B62CA" w:rsidRDefault="0080570D" w:rsidP="002B62CA">
      <w:pPr>
        <w:shd w:val="clear" w:color="auto" w:fill="FFFFFF"/>
        <w:spacing w:after="150" w:line="240" w:lineRule="auto"/>
        <w:ind w:firstLine="450"/>
        <w:jc w:val="both"/>
        <w:outlineLvl w:val="3"/>
        <w:rPr>
          <w:rFonts w:ascii="Times New Roman" w:eastAsia="Times New Roman" w:hAnsi="Times New Roman" w:cs="Times New Roman"/>
          <w:b/>
          <w:bCs/>
          <w:color w:val="0000FF"/>
          <w:sz w:val="28"/>
          <w:szCs w:val="28"/>
          <w:lang w:eastAsia="uk-UA"/>
        </w:rPr>
      </w:pPr>
      <w:r w:rsidRPr="0080570D">
        <w:rPr>
          <w:rFonts w:ascii="Times New Roman" w:eastAsia="Times New Roman" w:hAnsi="Times New Roman" w:cs="Times New Roman"/>
          <w:b/>
          <w:bCs/>
          <w:color w:val="3A3A3A"/>
          <w:sz w:val="28"/>
          <w:szCs w:val="28"/>
          <w:shd w:val="clear" w:color="auto" w:fill="FFFFFF"/>
          <w:lang w:eastAsia="uk-UA"/>
        </w:rPr>
        <w:t>Стаття 20 </w:t>
      </w:r>
      <w:r w:rsidRPr="0080570D">
        <w:rPr>
          <w:rFonts w:ascii="Times New Roman" w:eastAsia="Times New Roman" w:hAnsi="Times New Roman" w:cs="Times New Roman"/>
          <w:b/>
          <w:bCs/>
          <w:color w:val="0000FF"/>
          <w:sz w:val="28"/>
          <w:szCs w:val="28"/>
          <w:shd w:val="clear" w:color="auto" w:fill="FFFFFF"/>
          <w:lang w:eastAsia="uk-UA"/>
        </w:rPr>
        <w:t> </w:t>
      </w:r>
      <w:hyperlink r:id="rId10" w:history="1">
        <w:r w:rsidRPr="0080570D">
          <w:rPr>
            <w:rFonts w:ascii="Times New Roman" w:eastAsia="Times New Roman" w:hAnsi="Times New Roman" w:cs="Times New Roman"/>
            <w:b/>
            <w:bCs/>
            <w:color w:val="0000FF"/>
            <w:sz w:val="28"/>
            <w:szCs w:val="28"/>
            <w:lang w:eastAsia="uk-UA"/>
          </w:rPr>
          <w:t>Господарського процесуального кодексу України</w:t>
        </w:r>
      </w:hyperlink>
      <w:r w:rsidRPr="0080570D">
        <w:rPr>
          <w:rFonts w:ascii="Times New Roman" w:eastAsia="Times New Roman" w:hAnsi="Times New Roman" w:cs="Times New Roman"/>
          <w:b/>
          <w:bCs/>
          <w:color w:val="0000FF"/>
          <w:sz w:val="28"/>
          <w:szCs w:val="28"/>
          <w:lang w:eastAsia="uk-UA"/>
        </w:rPr>
        <w:t> </w:t>
      </w:r>
      <w:bookmarkStart w:id="0" w:name="_GoBack"/>
      <w:bookmarkEnd w:id="0"/>
      <w:r w:rsidRPr="0080570D">
        <w:rPr>
          <w:rFonts w:ascii="Times New Roman" w:eastAsia="Times New Roman" w:hAnsi="Times New Roman" w:cs="Times New Roman"/>
          <w:color w:val="3A3A3A"/>
          <w:sz w:val="28"/>
          <w:szCs w:val="28"/>
          <w:shd w:val="clear" w:color="auto" w:fill="FFFFFF"/>
          <w:lang w:eastAsia="uk-UA"/>
        </w:rPr>
        <w:t xml:space="preserve">визначає компетенцію Господарського суду </w:t>
      </w:r>
      <w:r w:rsidR="002B62CA">
        <w:rPr>
          <w:rFonts w:ascii="Times New Roman" w:eastAsia="Times New Roman" w:hAnsi="Times New Roman" w:cs="Times New Roman"/>
          <w:sz w:val="28"/>
          <w:szCs w:val="28"/>
          <w:lang w:eastAsia="uk-UA"/>
        </w:rPr>
        <w:t>Закарпатської</w:t>
      </w:r>
      <w:r w:rsidRPr="0080570D">
        <w:rPr>
          <w:rFonts w:ascii="Times New Roman" w:eastAsia="Times New Roman" w:hAnsi="Times New Roman" w:cs="Times New Roman"/>
          <w:color w:val="3A3A3A"/>
          <w:sz w:val="28"/>
          <w:szCs w:val="28"/>
          <w:shd w:val="clear" w:color="auto" w:fill="FFFFFF"/>
          <w:lang w:eastAsia="uk-UA"/>
        </w:rPr>
        <w:t xml:space="preserve"> області.</w:t>
      </w:r>
    </w:p>
    <w:p w:rsidR="0080570D" w:rsidRPr="002B62CA" w:rsidRDefault="0080570D" w:rsidP="0080570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r w:rsidRPr="002B62CA">
        <w:rPr>
          <w:rFonts w:ascii="Times New Roman" w:eastAsia="Times New Roman" w:hAnsi="Times New Roman" w:cs="Times New Roman"/>
          <w:b/>
          <w:bCs/>
          <w:color w:val="000000"/>
          <w:sz w:val="28"/>
          <w:szCs w:val="28"/>
          <w:lang w:eastAsia="uk-UA"/>
        </w:rPr>
        <w:t> </w:t>
      </w:r>
      <w:r w:rsidRPr="002B62CA">
        <w:rPr>
          <w:rFonts w:ascii="Times New Roman" w:eastAsia="Times New Roman" w:hAnsi="Times New Roman" w:cs="Times New Roman"/>
          <w:color w:val="000000"/>
          <w:sz w:val="28"/>
          <w:szCs w:val="28"/>
          <w:lang w:eastAsia="uk-UA"/>
        </w:rPr>
        <w:t>Справи, що відносяться до юрисдикції господарських судів:</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r w:rsidRPr="002B62CA">
        <w:rPr>
          <w:color w:val="333333"/>
          <w:sz w:val="28"/>
          <w:szCs w:val="28"/>
        </w:rPr>
        <w:t>1. Господарські суди розглядають справи у спорах, що виникають у зв’язку із здійсненням господарської діяльності (крім справ, передбачених частиною другою цієї статті), та інші справи у визначених законом випадках, зокрема:</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 w:name="n1638"/>
      <w:bookmarkEnd w:id="1"/>
      <w:r w:rsidRPr="002B62CA">
        <w:rPr>
          <w:color w:val="333333"/>
          <w:sz w:val="28"/>
          <w:szCs w:val="28"/>
        </w:rPr>
        <w:t>1) справи у спорах, що виникають при укладанні, зміні, розірванні і виконанні правочинів у господарській діяльності, крім правочинів, стороною яких є фізична особа, яка не є підприємцем, а також у спорах щодо правочинів, укладених для забезпечення виконання зобов’язання, сторонами якого є юридичні особи та (або) фізичні особи - підприємці;</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2" w:name="n1639"/>
      <w:bookmarkEnd w:id="2"/>
      <w:r w:rsidRPr="002B62CA">
        <w:rPr>
          <w:color w:val="333333"/>
          <w:sz w:val="28"/>
          <w:szCs w:val="28"/>
        </w:rPr>
        <w:t>2) справи у спорах щодо приватизації майна, крім спорів про приватизацію державного житлового фонду;</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3" w:name="n1640"/>
      <w:bookmarkEnd w:id="3"/>
      <w:r w:rsidRPr="002B62CA">
        <w:rPr>
          <w:color w:val="333333"/>
          <w:sz w:val="28"/>
          <w:szCs w:val="28"/>
        </w:rPr>
        <w:t>3) 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4" w:name="n1641"/>
      <w:bookmarkEnd w:id="4"/>
      <w:r w:rsidRPr="002B62CA">
        <w:rPr>
          <w:color w:val="333333"/>
          <w:sz w:val="28"/>
          <w:szCs w:val="28"/>
        </w:rPr>
        <w:t>4) справи у спорах,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5" w:name="n1642"/>
      <w:bookmarkEnd w:id="5"/>
      <w:r w:rsidRPr="002B62CA">
        <w:rPr>
          <w:color w:val="333333"/>
          <w:sz w:val="28"/>
          <w:szCs w:val="28"/>
        </w:rPr>
        <w:t>5) справи у спорах щодо цінних паперів, в тому числі пов’язані з правами на цінні папери та правами, що виникають з них, емісією, розміщенням, обігом та погашенням цінних паперів, обліком прав на цінні папери, зобов’язаннями за цінними паперами, крім боргових цінних паперів, власником яких є фізична особа, яка не є підприємцем, та векселів, що використовуються у податкових та митних правовідносинах;</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6" w:name="n1643"/>
      <w:bookmarkEnd w:id="6"/>
      <w:r w:rsidRPr="002B62CA">
        <w:rPr>
          <w:color w:val="333333"/>
          <w:sz w:val="28"/>
          <w:szCs w:val="28"/>
        </w:rPr>
        <w:t>6) 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яка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зобов’язання, сторонами якого є юридичні особи та (або) фізичні особи - підприємці;</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7" w:name="n1644"/>
      <w:bookmarkEnd w:id="7"/>
      <w:r w:rsidRPr="002B62CA">
        <w:rPr>
          <w:color w:val="333333"/>
          <w:sz w:val="28"/>
          <w:szCs w:val="28"/>
        </w:rPr>
        <w:t>7) справи 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 в тому числі у спорах, пов’язаних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8" w:name="n1645"/>
      <w:bookmarkEnd w:id="8"/>
      <w:r w:rsidRPr="002B62CA">
        <w:rPr>
          <w:color w:val="333333"/>
          <w:sz w:val="28"/>
          <w:szCs w:val="28"/>
        </w:rPr>
        <w:t>8) 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w:t>
      </w:r>
      <w:hyperlink r:id="rId11" w:tgtFrame="_blank" w:history="1">
        <w:r w:rsidRPr="002B62CA">
          <w:rPr>
            <w:rStyle w:val="a7"/>
            <w:color w:val="000099"/>
            <w:sz w:val="28"/>
            <w:szCs w:val="28"/>
          </w:rPr>
          <w:t>Податкового кодексу України</w:t>
        </w:r>
      </w:hyperlink>
      <w:r w:rsidRPr="002B62CA">
        <w:rPr>
          <w:color w:val="333333"/>
          <w:sz w:val="28"/>
          <w:szCs w:val="28"/>
        </w:rPr>
        <w:t>,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9" w:name="n1646"/>
      <w:bookmarkEnd w:id="9"/>
      <w:r w:rsidRPr="002B62CA">
        <w:rPr>
          <w:color w:val="333333"/>
          <w:sz w:val="28"/>
          <w:szCs w:val="28"/>
        </w:rPr>
        <w:t>9) справи за заявами про затвердження планів санації боржника до відкриття провадження у справі про банкрутство;</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0" w:name="n1647"/>
      <w:bookmarkEnd w:id="10"/>
      <w:r w:rsidRPr="002B62CA">
        <w:rPr>
          <w:color w:val="333333"/>
          <w:sz w:val="28"/>
          <w:szCs w:val="28"/>
        </w:rPr>
        <w:t>10) справи у спорах щодо оскарження актів (рішень) суб’єктів господарювання та їх органів, посадових та службових осіб у сфері організації та здійснення господарської діяльності, крім актів (рішень) суб’єктів владних повноважень, прийнятих на виконання їхніх владних управлінських функцій, та спорів, стороною яких є фізична особа, яка не є підприємцем;</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1" w:name="n1648"/>
      <w:bookmarkEnd w:id="11"/>
      <w:r w:rsidRPr="002B62CA">
        <w:rPr>
          <w:color w:val="333333"/>
          <w:sz w:val="28"/>
          <w:szCs w:val="28"/>
        </w:rPr>
        <w:t>11) справи про оскарження рішень третейських судів та про видачу наказу на примусове виконання рішень третейських судів, утворених відповідно до </w:t>
      </w:r>
      <w:hyperlink r:id="rId12" w:tgtFrame="_blank" w:history="1">
        <w:r w:rsidRPr="002B62CA">
          <w:rPr>
            <w:rStyle w:val="a7"/>
            <w:color w:val="000099"/>
            <w:sz w:val="28"/>
            <w:szCs w:val="28"/>
          </w:rPr>
          <w:t>Закону України</w:t>
        </w:r>
      </w:hyperlink>
      <w:r w:rsidRPr="002B62CA">
        <w:rPr>
          <w:color w:val="333333"/>
          <w:sz w:val="28"/>
          <w:szCs w:val="28"/>
        </w:rPr>
        <w:t> "Про третейські суди", якщо такі рішення ухвалені у спорах, зазначених у цій статті;</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2" w:name="n1649"/>
      <w:bookmarkEnd w:id="12"/>
      <w:r w:rsidRPr="002B62CA">
        <w:rPr>
          <w:color w:val="333333"/>
          <w:sz w:val="28"/>
          <w:szCs w:val="28"/>
        </w:rPr>
        <w:t>12) справи у спорах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такої посадової особи, за позовом власника (учасника, акціонера) такої юридичної особи, поданим в її інтересах;</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3" w:name="n1650"/>
      <w:bookmarkEnd w:id="13"/>
      <w:r w:rsidRPr="002B62CA">
        <w:rPr>
          <w:color w:val="333333"/>
          <w:sz w:val="28"/>
          <w:szCs w:val="28"/>
        </w:rPr>
        <w:t>13) вимоги щодо реєстрації майна та майнових прав, інших реєстраційних дій, визнання недійсними актів, що порушують права на майно (майнові права), якщо такі вимоги є похідними від спору щодо такого майна або майнових прав чи спору, що виник з корпоративних відносин, якщо цей спір підлягає розгляду в господарському суді і переданий на його розгляд разом з такими вимогами;</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4" w:name="n1651"/>
      <w:bookmarkEnd w:id="14"/>
      <w:r w:rsidRPr="002B62CA">
        <w:rPr>
          <w:color w:val="333333"/>
          <w:sz w:val="28"/>
          <w:szCs w:val="28"/>
        </w:rPr>
        <w:t>14) справи у спорах про захист ділової репутації, крім спорів, стороною яких є фізична особа, яка не є підприємцем або самозайнятою особою;</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5" w:name="n1652"/>
      <w:bookmarkEnd w:id="15"/>
      <w:r w:rsidRPr="002B62CA">
        <w:rPr>
          <w:color w:val="333333"/>
          <w:sz w:val="28"/>
          <w:szCs w:val="28"/>
        </w:rPr>
        <w:t>15) інші справи у спорах між суб’єктами господарювання;</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6" w:name="n1653"/>
      <w:bookmarkEnd w:id="16"/>
      <w:r w:rsidRPr="002B62CA">
        <w:rPr>
          <w:color w:val="333333"/>
          <w:sz w:val="28"/>
          <w:szCs w:val="28"/>
        </w:rPr>
        <w:t>16) справи за заявами про видачу судового наказу, якщо заявником та боржником є юридична особа або фізична особа - підприємець;</w:t>
      </w:r>
    </w:p>
    <w:p w:rsidR="002B62CA" w:rsidRPr="002B62CA" w:rsidRDefault="002B62CA" w:rsidP="002B62CA">
      <w:pPr>
        <w:pStyle w:val="rvps2"/>
        <w:shd w:val="clear" w:color="auto" w:fill="FFFFFF"/>
        <w:spacing w:before="0" w:beforeAutospacing="0" w:after="150" w:afterAutospacing="0"/>
        <w:ind w:firstLine="450"/>
        <w:jc w:val="both"/>
        <w:rPr>
          <w:color w:val="333333"/>
          <w:sz w:val="28"/>
          <w:szCs w:val="28"/>
        </w:rPr>
      </w:pPr>
      <w:bookmarkStart w:id="17" w:name="n4520"/>
      <w:bookmarkEnd w:id="17"/>
      <w:r w:rsidRPr="002B62CA">
        <w:rPr>
          <w:color w:val="333333"/>
          <w:sz w:val="28"/>
          <w:szCs w:val="28"/>
        </w:rPr>
        <w:t>17) справи, що виникають при укладанні, зміні, розірванні та виконанні договорів, укладених у рамках державно-приватного партнерства, у тому числі концесійних договорів, крім спорів, розгляд яких здійснюється в порядку іншого судочинства.</w:t>
      </w:r>
    </w:p>
    <w:p w:rsidR="002B62CA" w:rsidRPr="002B62CA" w:rsidRDefault="002B62CA" w:rsidP="002B62CA">
      <w:pPr>
        <w:shd w:val="clear" w:color="auto" w:fill="FFFFFF"/>
        <w:spacing w:after="150" w:line="240" w:lineRule="auto"/>
        <w:jc w:val="both"/>
        <w:rPr>
          <w:rFonts w:ascii="Times New Roman" w:eastAsia="Times New Roman" w:hAnsi="Times New Roman" w:cs="Times New Roman"/>
          <w:sz w:val="28"/>
          <w:szCs w:val="28"/>
          <w:lang w:eastAsia="uk-UA"/>
        </w:rPr>
      </w:pPr>
    </w:p>
    <w:sectPr w:rsidR="002B62CA" w:rsidRPr="002B62C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02" w:rsidRDefault="00426002" w:rsidP="0080570D">
      <w:pPr>
        <w:spacing w:after="0" w:line="240" w:lineRule="auto"/>
      </w:pPr>
      <w:r>
        <w:separator/>
      </w:r>
    </w:p>
  </w:endnote>
  <w:endnote w:type="continuationSeparator" w:id="0">
    <w:p w:rsidR="00426002" w:rsidRDefault="00426002" w:rsidP="0080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02" w:rsidRDefault="00426002" w:rsidP="0080570D">
      <w:pPr>
        <w:spacing w:after="0" w:line="240" w:lineRule="auto"/>
      </w:pPr>
      <w:r>
        <w:separator/>
      </w:r>
    </w:p>
  </w:footnote>
  <w:footnote w:type="continuationSeparator" w:id="0">
    <w:p w:rsidR="00426002" w:rsidRDefault="00426002" w:rsidP="00805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81C49"/>
    <w:multiLevelType w:val="multilevel"/>
    <w:tmpl w:val="A662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D"/>
    <w:rsid w:val="002B62CA"/>
    <w:rsid w:val="00426002"/>
    <w:rsid w:val="0080570D"/>
    <w:rsid w:val="00982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1E30"/>
  <w15:chartTrackingRefBased/>
  <w15:docId w15:val="{0D103378-994D-4FB0-9695-D908BCC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70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0570D"/>
  </w:style>
  <w:style w:type="paragraph" w:styleId="a5">
    <w:name w:val="footer"/>
    <w:basedOn w:val="a"/>
    <w:link w:val="a6"/>
    <w:uiPriority w:val="99"/>
    <w:unhideWhenUsed/>
    <w:rsid w:val="0080570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0570D"/>
  </w:style>
  <w:style w:type="paragraph" w:customStyle="1" w:styleId="rvps2">
    <w:name w:val="rvps2"/>
    <w:basedOn w:val="a"/>
    <w:rsid w:val="002B62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B6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3556">
      <w:bodyDiv w:val="1"/>
      <w:marLeft w:val="0"/>
      <w:marRight w:val="0"/>
      <w:marTop w:val="0"/>
      <w:marBottom w:val="0"/>
      <w:divBdr>
        <w:top w:val="none" w:sz="0" w:space="0" w:color="auto"/>
        <w:left w:val="none" w:sz="0" w:space="0" w:color="auto"/>
        <w:bottom w:val="none" w:sz="0" w:space="0" w:color="auto"/>
        <w:right w:val="none" w:sz="0" w:space="0" w:color="auto"/>
      </w:divBdr>
    </w:div>
    <w:div w:id="955985809">
      <w:bodyDiv w:val="1"/>
      <w:marLeft w:val="0"/>
      <w:marRight w:val="0"/>
      <w:marTop w:val="0"/>
      <w:marBottom w:val="0"/>
      <w:divBdr>
        <w:top w:val="none" w:sz="0" w:space="0" w:color="auto"/>
        <w:left w:val="none" w:sz="0" w:space="0" w:color="auto"/>
        <w:bottom w:val="none" w:sz="0" w:space="0" w:color="auto"/>
        <w:right w:val="none" w:sz="0" w:space="0" w:color="auto"/>
      </w:divBdr>
      <w:divsChild>
        <w:div w:id="1967929007">
          <w:marLeft w:val="0"/>
          <w:marRight w:val="0"/>
          <w:marTop w:val="0"/>
          <w:marBottom w:val="0"/>
          <w:divBdr>
            <w:top w:val="none" w:sz="0" w:space="0" w:color="auto"/>
            <w:left w:val="none" w:sz="0" w:space="0" w:color="auto"/>
            <w:bottom w:val="none" w:sz="0" w:space="0" w:color="auto"/>
            <w:right w:val="none" w:sz="0" w:space="0" w:color="auto"/>
          </w:divBdr>
          <w:divsChild>
            <w:div w:id="1756979096">
              <w:marLeft w:val="0"/>
              <w:marRight w:val="0"/>
              <w:marTop w:val="300"/>
              <w:marBottom w:val="0"/>
              <w:divBdr>
                <w:top w:val="none" w:sz="0" w:space="0" w:color="auto"/>
                <w:left w:val="none" w:sz="0" w:space="0" w:color="auto"/>
                <w:bottom w:val="none" w:sz="0" w:space="0" w:color="auto"/>
                <w:right w:val="none" w:sz="0" w:space="0" w:color="auto"/>
              </w:divBdr>
            </w:div>
          </w:divsChild>
        </w:div>
        <w:div w:id="255866668">
          <w:marLeft w:val="0"/>
          <w:marRight w:val="0"/>
          <w:marTop w:val="0"/>
          <w:marBottom w:val="0"/>
          <w:divBdr>
            <w:top w:val="none" w:sz="0" w:space="0" w:color="auto"/>
            <w:left w:val="none" w:sz="0" w:space="0" w:color="auto"/>
            <w:bottom w:val="none" w:sz="0" w:space="0" w:color="auto"/>
            <w:right w:val="none" w:sz="0" w:space="0" w:color="auto"/>
          </w:divBdr>
          <w:divsChild>
            <w:div w:id="17580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12" Type="http://schemas.openxmlformats.org/officeDocument/2006/relationships/hyperlink" Target="https://zakon.rada.gov.ua/laws/show/170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55-17" TargetMode="External"/><Relationship Id="rId5" Type="http://schemas.openxmlformats.org/officeDocument/2006/relationships/footnotes" Target="footnotes.xml"/><Relationship Id="rId10" Type="http://schemas.openxmlformats.org/officeDocument/2006/relationships/hyperlink" Target="http://zakon5.rada.gov.ua/laws/show/1798-12" TargetMode="External"/><Relationship Id="rId4" Type="http://schemas.openxmlformats.org/officeDocument/2006/relationships/webSettings" Target="webSettings.xml"/><Relationship Id="rId9" Type="http://schemas.openxmlformats.org/officeDocument/2006/relationships/hyperlink" Target="http://zakon2.rada.gov.ua/laws/show/140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4777</Words>
  <Characters>2724</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 Хамник</dc:creator>
  <cp:keywords/>
  <dc:description/>
  <cp:lastModifiedBy>Оксана В. Ковач (Андрейчик)</cp:lastModifiedBy>
  <cp:revision>2</cp:revision>
  <dcterms:created xsi:type="dcterms:W3CDTF">2020-09-22T07:18:00Z</dcterms:created>
  <dcterms:modified xsi:type="dcterms:W3CDTF">2020-09-22T07:18:00Z</dcterms:modified>
</cp:coreProperties>
</file>